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D2" w:rsidRDefault="004678D2" w:rsidP="007B294D">
      <w:pPr>
        <w:jc w:val="center"/>
        <w:rPr>
          <w:rFonts w:ascii="Arial" w:hAnsi="Arial" w:cs="Arial"/>
        </w:rPr>
      </w:pPr>
    </w:p>
    <w:p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General Education 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:rsidR="00506C33" w:rsidRPr="00667900" w:rsidRDefault="00163EB9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September 24, 2020</w:t>
      </w:r>
      <w:bookmarkStart w:id="0" w:name="_GoBack"/>
      <w:bookmarkEnd w:id="0"/>
    </w:p>
    <w:p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419CB" w:rsidRPr="00AA01DC" w:rsidRDefault="00F563FC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 xml:space="preserve">: </w:t>
      </w:r>
      <w:r w:rsidR="00FF752D">
        <w:rPr>
          <w:rFonts w:ascii="Calibri" w:hAnsi="Calibri" w:cs="Arial"/>
          <w:sz w:val="22"/>
          <w:szCs w:val="22"/>
        </w:rPr>
        <w:tab/>
      </w:r>
      <w:r w:rsidR="00B5098A">
        <w:rPr>
          <w:rFonts w:ascii="Calibri" w:hAnsi="Calibri" w:cs="Arial"/>
          <w:sz w:val="22"/>
          <w:szCs w:val="22"/>
        </w:rPr>
        <w:t xml:space="preserve">Nancy Diller, Carol Van Der Karr, Bruce Mattingly, Steve Cunningham, Daniel Radus, Garrett Otto, Gregory Ketcham, Ryan Fiddler, </w:t>
      </w:r>
      <w:proofErr w:type="spellStart"/>
      <w:r w:rsidR="00B5098A">
        <w:rPr>
          <w:rFonts w:ascii="Calibri" w:hAnsi="Calibri" w:cs="Arial"/>
          <w:sz w:val="22"/>
          <w:szCs w:val="22"/>
        </w:rPr>
        <w:t>Eunyoun</w:t>
      </w:r>
      <w:proofErr w:type="spellEnd"/>
      <w:r w:rsidR="00B5098A">
        <w:rPr>
          <w:rFonts w:ascii="Calibri" w:hAnsi="Calibri" w:cs="Arial"/>
          <w:sz w:val="22"/>
          <w:szCs w:val="22"/>
        </w:rPr>
        <w:t xml:space="preserve"> Jung, Doug Armstead</w:t>
      </w:r>
    </w:p>
    <w:p w:rsidR="003B03C3" w:rsidRPr="003B03C3" w:rsidRDefault="003B03C3" w:rsidP="00AD335B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:rsidR="00E57F3A" w:rsidRPr="004678D2" w:rsidRDefault="00C20440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 xml:space="preserve">Members </w:t>
      </w:r>
      <w:proofErr w:type="gramStart"/>
      <w:r>
        <w:rPr>
          <w:rFonts w:ascii="Calibri" w:hAnsi="Calibri" w:cs="Arial"/>
          <w:sz w:val="22"/>
          <w:szCs w:val="22"/>
          <w:u w:val="single"/>
        </w:rPr>
        <w:t>Absent</w:t>
      </w:r>
      <w:r w:rsidR="008B07E4">
        <w:rPr>
          <w:rFonts w:ascii="Calibri" w:hAnsi="Calibri" w:cs="Arial"/>
          <w:sz w:val="22"/>
          <w:szCs w:val="22"/>
          <w:u w:val="single"/>
        </w:rPr>
        <w:t xml:space="preserve"> :</w:t>
      </w:r>
      <w:proofErr w:type="gramEnd"/>
      <w:r w:rsidR="00AD335B">
        <w:rPr>
          <w:rFonts w:ascii="Calibri" w:hAnsi="Calibri" w:cs="Arial"/>
          <w:sz w:val="22"/>
          <w:szCs w:val="22"/>
        </w:rPr>
        <w:t xml:space="preserve"> </w:t>
      </w:r>
      <w:r w:rsidR="00AD335B">
        <w:rPr>
          <w:rFonts w:ascii="Calibri" w:hAnsi="Calibri" w:cs="Arial"/>
          <w:sz w:val="22"/>
          <w:szCs w:val="22"/>
        </w:rPr>
        <w:tab/>
      </w:r>
      <w:proofErr w:type="spellStart"/>
      <w:r w:rsidR="00B5098A">
        <w:rPr>
          <w:rFonts w:ascii="Calibri" w:hAnsi="Calibri" w:cs="Arial"/>
          <w:sz w:val="22"/>
          <w:szCs w:val="22"/>
        </w:rPr>
        <w:t>Meche</w:t>
      </w:r>
      <w:proofErr w:type="spellEnd"/>
      <w:r w:rsidR="00B5098A">
        <w:rPr>
          <w:rFonts w:ascii="Calibri" w:hAnsi="Calibri" w:cs="Arial"/>
          <w:sz w:val="22"/>
          <w:szCs w:val="22"/>
        </w:rPr>
        <w:t xml:space="preserve"> Nagel, James Hokanson, Lauren Delaubell, Pam Schroeder, Student representative (vacant)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98"/>
        <w:gridCol w:w="6030"/>
        <w:gridCol w:w="4236"/>
      </w:tblGrid>
      <w:tr w:rsidR="0073369C" w:rsidRPr="00783B86" w:rsidTr="00AD335B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3B03C3" w:rsidRPr="00506C33" w:rsidTr="00AD335B">
        <w:trPr>
          <w:trHeight w:val="432"/>
        </w:trPr>
        <w:tc>
          <w:tcPr>
            <w:tcW w:w="37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B03C3" w:rsidRDefault="00B5098A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Approval of Minutes</w:t>
            </w:r>
          </w:p>
        </w:tc>
        <w:tc>
          <w:tcPr>
            <w:tcW w:w="603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B03C3" w:rsidRPr="009B42B0" w:rsidRDefault="00B5098A" w:rsidP="009B42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corrections</w:t>
            </w: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B03C3" w:rsidRPr="00506C33" w:rsidRDefault="00B5098A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9B42B0" w:rsidRPr="00506C33" w:rsidTr="00AD335B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AD335B" w:rsidRDefault="00B5098A" w:rsidP="00AD335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Election of Committee Chair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Pr="00BA1951" w:rsidRDefault="00B5098A" w:rsidP="009B42B0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Lauren expressed interest in being chair of the committee. Doug motioned for an election to be taken with Lauren as the candidate, Dan seconded it. </w:t>
            </w:r>
            <w:r w:rsidR="00C27980">
              <w:rPr>
                <w:rFonts w:ascii="Calibri" w:hAnsi="Calibri"/>
                <w:sz w:val="22"/>
                <w:szCs w:val="22"/>
              </w:rPr>
              <w:t>Thank you Lauren for taking this on and congratulations on the universal support from the committee.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Pr="00506C33" w:rsidRDefault="00C27980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Election held, Lauren Delaubell is the unanimous winner.</w:t>
            </w:r>
          </w:p>
        </w:tc>
      </w:tr>
      <w:tr w:rsidR="009B42B0" w:rsidRPr="00506C33" w:rsidTr="00AD335B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Default="00C27980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Consideration of GE6 for ECO 315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Pr="00BA1951" w:rsidRDefault="00C27980" w:rsidP="009B42B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proposal was discussed for GE6 (Contrasting Cultures) designation, concern was expressed about the lack of specificity in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curriculog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/boiler plate entry. Syllabus noted as having appropriate specificity. Writing intensive status of course confirmed. Dan motioned for the course to be considered for a contingent pass, Ryan seconded.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Pr="00506C33" w:rsidRDefault="00C27980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Unanimous vote for contingent pass, applicant will need to update the goals and learning outcomes sections on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curriculog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to more directly apply to this course.</w:t>
            </w:r>
          </w:p>
        </w:tc>
      </w:tr>
      <w:tr w:rsidR="00851DF3" w:rsidRPr="00506C33" w:rsidTr="00AD335B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740FE9" w:rsidRPr="00C27980" w:rsidRDefault="00C27980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C27980">
              <w:rPr>
                <w:rFonts w:ascii="Calibri" w:hAnsi="Calibri"/>
                <w:b/>
                <w:sz w:val="22"/>
                <w:szCs w:val="22"/>
              </w:rPr>
              <w:t>Assessment Update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B909CC" w:rsidRDefault="00B909CC" w:rsidP="00C2798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Steve r</w:t>
            </w:r>
            <w:r w:rsidR="00C27980">
              <w:rPr>
                <w:rFonts w:ascii="Calibri" w:hAnsi="Calibri"/>
                <w:sz w:val="22"/>
                <w:szCs w:val="22"/>
              </w:rPr>
              <w:t>eport</w:t>
            </w:r>
            <w:r>
              <w:rPr>
                <w:rFonts w:ascii="Calibri" w:hAnsi="Calibri"/>
                <w:sz w:val="22"/>
                <w:szCs w:val="22"/>
              </w:rPr>
              <w:t>ed on status from last year:</w:t>
            </w:r>
          </w:p>
          <w:p w:rsidR="00B909CC" w:rsidRPr="00B909CC" w:rsidRDefault="00C27980" w:rsidP="00B909CC">
            <w:pPr>
              <w:rPr>
                <w:rFonts w:ascii="Calibri" w:hAnsi="Calibri"/>
                <w:sz w:val="22"/>
                <w:szCs w:val="22"/>
              </w:rPr>
            </w:pPr>
            <w:r w:rsidRPr="00C27980">
              <w:rPr>
                <w:rFonts w:ascii="Calibri" w:hAnsi="Calibri"/>
                <w:sz w:val="22"/>
                <w:szCs w:val="22"/>
              </w:rPr>
              <w:t>Last year</w:t>
            </w:r>
            <w:r>
              <w:rPr>
                <w:rFonts w:ascii="Calibri" w:hAnsi="Calibri"/>
                <w:sz w:val="22"/>
                <w:szCs w:val="22"/>
              </w:rPr>
              <w:t xml:space="preserve"> committee tabled</w:t>
            </w:r>
            <w:r w:rsidR="00B909CC">
              <w:rPr>
                <w:rFonts w:ascii="Calibri" w:hAnsi="Calibri"/>
                <w:sz w:val="22"/>
                <w:szCs w:val="22"/>
              </w:rPr>
              <w:t xml:space="preserve"> assessment after many syllabi were submitted for GE1, GE4, and Writing Intensive/Information Management. New class samples will need to be made this year. Results from 2019 assessment still need to be made.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1D3114" w:rsidRPr="00B909CC" w:rsidRDefault="001D3114" w:rsidP="00B909C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10B86" w:rsidRPr="00506C33" w:rsidTr="00AD335B">
        <w:trPr>
          <w:trHeight w:val="39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210B86" w:rsidRDefault="00B909CC" w:rsidP="00B909CC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Outline </w:t>
            </w:r>
            <w:r w:rsidR="00820C48">
              <w:rPr>
                <w:rFonts w:ascii="Calibri" w:hAnsi="Calibri"/>
                <w:sz w:val="22"/>
                <w:szCs w:val="22"/>
              </w:rPr>
              <w:t xml:space="preserve">of </w:t>
            </w:r>
            <w:r>
              <w:rPr>
                <w:rFonts w:ascii="Calibri" w:hAnsi="Calibri"/>
                <w:sz w:val="22"/>
                <w:szCs w:val="22"/>
              </w:rPr>
              <w:t>process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B909CC" w:rsidRDefault="00B909CC" w:rsidP="00B909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Steve also outlined procedure:</w:t>
            </w:r>
          </w:p>
          <w:p w:rsidR="00B909CC" w:rsidRDefault="00B909CC" w:rsidP="00B909CC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Contact depts. to be assessed</w:t>
            </w:r>
          </w:p>
          <w:p w:rsidR="00B909CC" w:rsidRDefault="00B909CC" w:rsidP="00B909CC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Sample 1/3 of courses</w:t>
            </w:r>
          </w:p>
          <w:p w:rsidR="00B909CC" w:rsidRDefault="00B909CC" w:rsidP="00B909CC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All instructors required to participate (including contingent faculty)</w:t>
            </w:r>
          </w:p>
          <w:p w:rsidR="00B909CC" w:rsidRDefault="00B909CC" w:rsidP="00B909CC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Instructor provides syllabus, embedded assessment method</w:t>
            </w:r>
          </w:p>
          <w:p w:rsidR="00B909CC" w:rsidRDefault="00B909CC" w:rsidP="00B909CC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Sub committee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takes three steps</w:t>
            </w:r>
          </w:p>
          <w:p w:rsidR="00B909CC" w:rsidRDefault="00B909CC" w:rsidP="00B909CC">
            <w:pPr>
              <w:pStyle w:val="ListParagraph"/>
              <w:numPr>
                <w:ilvl w:val="1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Review rubric </w:t>
            </w:r>
          </w:p>
          <w:p w:rsidR="00B909CC" w:rsidRDefault="00B909CC" w:rsidP="00B909CC">
            <w:pPr>
              <w:pStyle w:val="ListParagraph"/>
              <w:numPr>
                <w:ilvl w:val="1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Review Syllabus</w:t>
            </w:r>
          </w:p>
          <w:p w:rsidR="00B909CC" w:rsidRDefault="00B909CC" w:rsidP="00B909CC">
            <w:pPr>
              <w:pStyle w:val="ListParagraph"/>
              <w:numPr>
                <w:ilvl w:val="1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Review Assessment tool (late fall semester)</w:t>
            </w:r>
          </w:p>
          <w:p w:rsidR="00B909CC" w:rsidRDefault="00B909CC" w:rsidP="00B909CC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Results shared w/ committee and then departments in aggregate form as this assessment is not an evaluation of the instructor.</w:t>
            </w:r>
          </w:p>
          <w:p w:rsidR="00210B86" w:rsidRDefault="00210B86" w:rsidP="00E64199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210B86" w:rsidRDefault="00210B86" w:rsidP="00097DB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64199" w:rsidRPr="00506C33" w:rsidTr="00AD335B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Pr="0056586C" w:rsidRDefault="00820C48" w:rsidP="00E64199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Comments on best practices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820C48" w:rsidRPr="00820C48" w:rsidRDefault="00820C48" w:rsidP="00C44392">
            <w:pPr>
              <w:pStyle w:val="ListParagraph"/>
              <w:ind w:left="-18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Carol pointed out that the committee’s use of embedded assessment tools and a living assessment rubric that is revisited leads to a much more meaningful assessment process and to </w:t>
            </w:r>
            <w:r>
              <w:rPr>
                <w:rFonts w:ascii="Calibri" w:hAnsi="Calibri"/>
                <w:b/>
                <w:sz w:val="22"/>
                <w:szCs w:val="22"/>
              </w:rPr>
              <w:t>much better participation</w:t>
            </w:r>
            <w:r>
              <w:rPr>
                <w:rFonts w:ascii="Calibri" w:hAnsi="Calibri"/>
                <w:sz w:val="22"/>
                <w:szCs w:val="22"/>
              </w:rPr>
              <w:t xml:space="preserve"> as a result.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Default="00E64199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20C48" w:rsidRPr="00506C33" w:rsidTr="00AD335B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820C48" w:rsidRPr="00EA55E8" w:rsidRDefault="00820C48" w:rsidP="00820C48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General questions on process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820C48" w:rsidRDefault="00820C48" w:rsidP="00820C48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Role of committee vs working group</w:t>
            </w:r>
          </w:p>
          <w:p w:rsidR="00820C48" w:rsidRDefault="00820C48" w:rsidP="00820C48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820C48">
              <w:rPr>
                <w:rFonts w:ascii="Calibri" w:hAnsi="Calibri"/>
                <w:sz w:val="22"/>
                <w:szCs w:val="22"/>
              </w:rPr>
              <w:t>Can work reviewing syllabi last year be used this year? (yes where samples overlap)</w:t>
            </w:r>
          </w:p>
          <w:p w:rsidR="00820C48" w:rsidRDefault="00820C48" w:rsidP="00820C48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820C48">
              <w:rPr>
                <w:rFonts w:ascii="Calibri" w:hAnsi="Calibri"/>
                <w:sz w:val="22"/>
                <w:szCs w:val="22"/>
              </w:rPr>
              <w:t>Where can rubrics be found? (moving from shares drive to teams)</w:t>
            </w:r>
          </w:p>
          <w:p w:rsidR="00820C48" w:rsidRPr="00820C48" w:rsidRDefault="00820C48" w:rsidP="00820C48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Only vote that is needed and expected happens in committee meeting.</w:t>
            </w:r>
          </w:p>
          <w:p w:rsidR="00820C48" w:rsidRDefault="00820C48" w:rsidP="00820C48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820C48" w:rsidRDefault="00820C48" w:rsidP="00820C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20C48" w:rsidRPr="00506C33" w:rsidTr="00AD335B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820C48" w:rsidRPr="006A5574" w:rsidRDefault="00820C48" w:rsidP="00820C48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820C48" w:rsidRDefault="00820C48" w:rsidP="00820C48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820C48" w:rsidRPr="00506C33" w:rsidRDefault="00820C48" w:rsidP="00820C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Meeting adjourned 9:18am</w:t>
            </w:r>
          </w:p>
        </w:tc>
      </w:tr>
      <w:tr w:rsidR="00820C48" w:rsidRPr="00506C33" w:rsidTr="00AD335B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820C48" w:rsidRPr="00CD35AD" w:rsidRDefault="00820C48" w:rsidP="00820C48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820C48" w:rsidRDefault="00820C48" w:rsidP="00820C48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820C48" w:rsidRDefault="00820C48" w:rsidP="00820C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F74A0A" w:rsidRDefault="00F74A0A" w:rsidP="00F708C3">
      <w:pPr>
        <w:ind w:right="-450"/>
        <w:jc w:val="right"/>
        <w:rPr>
          <w:rFonts w:ascii="Calibri" w:hAnsi="Calibri" w:cs="Arial"/>
          <w:sz w:val="22"/>
          <w:szCs w:val="22"/>
        </w:rPr>
      </w:pPr>
    </w:p>
    <w:p w:rsidR="00C2626A" w:rsidRDefault="00C2626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:rsidR="00820C48" w:rsidRDefault="00F74A0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 w:rsidRPr="00F74A0A">
        <w:rPr>
          <w:rFonts w:ascii="Calibri" w:hAnsi="Calibri" w:cs="Arial"/>
          <w:sz w:val="18"/>
          <w:szCs w:val="18"/>
        </w:rPr>
        <w:t>Submitted by</w:t>
      </w:r>
      <w:r w:rsidR="00AD335B">
        <w:rPr>
          <w:rFonts w:ascii="Calibri" w:hAnsi="Calibri" w:cs="Arial"/>
          <w:sz w:val="18"/>
          <w:szCs w:val="18"/>
        </w:rPr>
        <w:t xml:space="preserve"> </w:t>
      </w:r>
    </w:p>
    <w:p w:rsidR="0072704A" w:rsidRDefault="00820C48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Doug Armstead</w:t>
      </w:r>
      <w:r w:rsidR="00F74A0A" w:rsidRPr="00F74A0A">
        <w:rPr>
          <w:rFonts w:ascii="Calibri" w:hAnsi="Calibri" w:cs="Arial"/>
          <w:sz w:val="18"/>
          <w:szCs w:val="18"/>
        </w:rPr>
        <w:t xml:space="preserve"> </w:t>
      </w:r>
    </w:p>
    <w:p w:rsidR="007C653D" w:rsidRPr="00F74A0A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199" w:rsidRDefault="00E64199" w:rsidP="00097DBB">
      <w:r>
        <w:separator/>
      </w:r>
    </w:p>
  </w:endnote>
  <w:endnote w:type="continuationSeparator" w:id="0">
    <w:p w:rsidR="00E64199" w:rsidRDefault="00E64199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199" w:rsidRDefault="00E64199" w:rsidP="00097DBB">
      <w:r>
        <w:separator/>
      </w:r>
    </w:p>
  </w:footnote>
  <w:footnote w:type="continuationSeparator" w:id="0">
    <w:p w:rsidR="00E64199" w:rsidRDefault="00E64199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9410F"/>
    <w:multiLevelType w:val="hybridMultilevel"/>
    <w:tmpl w:val="1C60F6F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38C4754D"/>
    <w:multiLevelType w:val="hybridMultilevel"/>
    <w:tmpl w:val="D2EC39C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2"/>
  </w:num>
  <w:num w:numId="5">
    <w:abstractNumId w:val="9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  <w:num w:numId="11">
    <w:abstractNumId w:val="1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11527"/>
    <w:rsid w:val="00012B29"/>
    <w:rsid w:val="000202A2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61B7"/>
    <w:rsid w:val="000D6D16"/>
    <w:rsid w:val="000D6E75"/>
    <w:rsid w:val="000E5D05"/>
    <w:rsid w:val="000E62A3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5FD9"/>
    <w:rsid w:val="00160A2C"/>
    <w:rsid w:val="00160E0D"/>
    <w:rsid w:val="00163EB9"/>
    <w:rsid w:val="001657AF"/>
    <w:rsid w:val="00180148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E0CB3"/>
    <w:rsid w:val="002E546B"/>
    <w:rsid w:val="002F16D0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A03EA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3730"/>
    <w:rsid w:val="004376DF"/>
    <w:rsid w:val="0044146D"/>
    <w:rsid w:val="004514C6"/>
    <w:rsid w:val="00452CF9"/>
    <w:rsid w:val="00461DCA"/>
    <w:rsid w:val="004631AE"/>
    <w:rsid w:val="004678D2"/>
    <w:rsid w:val="0047030F"/>
    <w:rsid w:val="00472F4C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E136F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C0ABA"/>
    <w:rsid w:val="005C2E04"/>
    <w:rsid w:val="005E22B4"/>
    <w:rsid w:val="005E24F3"/>
    <w:rsid w:val="00606567"/>
    <w:rsid w:val="00610904"/>
    <w:rsid w:val="00611F5E"/>
    <w:rsid w:val="006144D7"/>
    <w:rsid w:val="00615E2E"/>
    <w:rsid w:val="00617BEF"/>
    <w:rsid w:val="006317B4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4CC3"/>
    <w:rsid w:val="006C6144"/>
    <w:rsid w:val="006D53C9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3C2B"/>
    <w:rsid w:val="00820C48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9240B"/>
    <w:rsid w:val="008A0DD2"/>
    <w:rsid w:val="008B07E4"/>
    <w:rsid w:val="008B12C8"/>
    <w:rsid w:val="008B4774"/>
    <w:rsid w:val="008C216A"/>
    <w:rsid w:val="008D30E3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4B58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90376"/>
    <w:rsid w:val="00993A42"/>
    <w:rsid w:val="00995AD4"/>
    <w:rsid w:val="009B42B0"/>
    <w:rsid w:val="009B67F6"/>
    <w:rsid w:val="009D0B8D"/>
    <w:rsid w:val="009D379F"/>
    <w:rsid w:val="009D7266"/>
    <w:rsid w:val="009F3CA7"/>
    <w:rsid w:val="00A01B44"/>
    <w:rsid w:val="00A071FA"/>
    <w:rsid w:val="00A12616"/>
    <w:rsid w:val="00A17373"/>
    <w:rsid w:val="00A24505"/>
    <w:rsid w:val="00A2528D"/>
    <w:rsid w:val="00A26157"/>
    <w:rsid w:val="00A315C0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D335B"/>
    <w:rsid w:val="00AD4A4B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21957"/>
    <w:rsid w:val="00B2424D"/>
    <w:rsid w:val="00B336FF"/>
    <w:rsid w:val="00B352FE"/>
    <w:rsid w:val="00B37B37"/>
    <w:rsid w:val="00B45B47"/>
    <w:rsid w:val="00B5098A"/>
    <w:rsid w:val="00B62571"/>
    <w:rsid w:val="00B74988"/>
    <w:rsid w:val="00B909CC"/>
    <w:rsid w:val="00B91202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F1990"/>
    <w:rsid w:val="00BF7D49"/>
    <w:rsid w:val="00C03865"/>
    <w:rsid w:val="00C124F8"/>
    <w:rsid w:val="00C20440"/>
    <w:rsid w:val="00C24CA2"/>
    <w:rsid w:val="00C2626A"/>
    <w:rsid w:val="00C27980"/>
    <w:rsid w:val="00C37260"/>
    <w:rsid w:val="00C441FF"/>
    <w:rsid w:val="00C44392"/>
    <w:rsid w:val="00C5277A"/>
    <w:rsid w:val="00C645F1"/>
    <w:rsid w:val="00C74920"/>
    <w:rsid w:val="00C87AA6"/>
    <w:rsid w:val="00C918B9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30046"/>
    <w:rsid w:val="00E3633A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  <w14:docId w14:val="7FB0F819"/>
  <w15:docId w15:val="{BAAD2BEA-4094-4B5C-9816-1B09A949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Lauren deLaubell</cp:lastModifiedBy>
  <cp:revision>3</cp:revision>
  <cp:lastPrinted>2012-02-03T14:02:00Z</cp:lastPrinted>
  <dcterms:created xsi:type="dcterms:W3CDTF">2020-09-24T13:59:00Z</dcterms:created>
  <dcterms:modified xsi:type="dcterms:W3CDTF">2020-10-08T12:10:00Z</dcterms:modified>
</cp:coreProperties>
</file>