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9115A" w14:textId="77777777" w:rsidR="004678D2" w:rsidRDefault="004678D2" w:rsidP="007B294D">
      <w:pPr>
        <w:jc w:val="center"/>
        <w:rPr>
          <w:rFonts w:ascii="Arial" w:hAnsi="Arial" w:cs="Arial"/>
          <w:lang w:eastAsia="ko-KR"/>
        </w:rPr>
      </w:pPr>
      <w:bookmarkStart w:id="0" w:name="_GoBack"/>
      <w:bookmarkEnd w:id="0"/>
    </w:p>
    <w:p w14:paraId="4A5B64AA" w14:textId="77777777" w:rsidR="00F563FC" w:rsidRPr="00667900" w:rsidRDefault="00AD335B" w:rsidP="00AD335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General Education Committee Meeting Minutes</w:t>
      </w:r>
      <w:r w:rsidR="00472F4C">
        <w:rPr>
          <w:rFonts w:asciiTheme="minorHAnsi" w:hAnsiTheme="minorHAnsi" w:cs="Arial"/>
          <w:sz w:val="28"/>
          <w:szCs w:val="28"/>
        </w:rPr>
        <w:t xml:space="preserve"> </w:t>
      </w:r>
    </w:p>
    <w:p w14:paraId="2F31A5BA" w14:textId="14173D44" w:rsidR="00506C33" w:rsidRPr="00667900" w:rsidRDefault="00F875C6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April 8, 2021</w:t>
      </w:r>
    </w:p>
    <w:p w14:paraId="1EAF8D7D" w14:textId="77777777" w:rsidR="00711B60" w:rsidRPr="00DB1F95" w:rsidRDefault="00DF6642" w:rsidP="00DB1F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BF7274C" w14:textId="25D3FABE" w:rsidR="00CE1519" w:rsidRPr="005A4372" w:rsidRDefault="00D46112" w:rsidP="00CE1519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</w:t>
      </w:r>
      <w:r w:rsidR="00F563FC" w:rsidRPr="002419CB">
        <w:rPr>
          <w:rFonts w:ascii="Calibri" w:hAnsi="Calibri" w:cs="Arial"/>
          <w:sz w:val="22"/>
          <w:szCs w:val="22"/>
          <w:u w:val="single"/>
        </w:rPr>
        <w:t xml:space="preserve">embers </w:t>
      </w:r>
      <w:r w:rsidR="00D44E9E" w:rsidRPr="00C93DBA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C93DBA">
        <w:rPr>
          <w:rFonts w:ascii="Calibri" w:hAnsi="Calibri" w:cs="Arial"/>
          <w:sz w:val="22"/>
          <w:szCs w:val="22"/>
        </w:rPr>
        <w:t xml:space="preserve">: </w:t>
      </w:r>
      <w:r w:rsidR="00CE1519">
        <w:rPr>
          <w:rFonts w:ascii="Calibri" w:hAnsi="Calibri" w:cs="Arial"/>
          <w:sz w:val="22"/>
          <w:szCs w:val="22"/>
        </w:rPr>
        <w:t xml:space="preserve">Nancy </w:t>
      </w:r>
      <w:proofErr w:type="gramStart"/>
      <w:r w:rsidR="00CE1519">
        <w:rPr>
          <w:rFonts w:ascii="Calibri" w:hAnsi="Calibri" w:cs="Arial"/>
          <w:sz w:val="22"/>
          <w:szCs w:val="22"/>
        </w:rPr>
        <w:t>Diller,  Carol</w:t>
      </w:r>
      <w:proofErr w:type="gramEnd"/>
      <w:r w:rsidR="00CE1519">
        <w:rPr>
          <w:rFonts w:ascii="Calibri" w:hAnsi="Calibri" w:cs="Arial"/>
          <w:sz w:val="22"/>
          <w:szCs w:val="22"/>
        </w:rPr>
        <w:t xml:space="preserve"> Van Der Karr, Lauren Delaubell, Daniel Radus, Douglas Armstead, Garrett Otto, Gregory Ketcham, Eunyoung Jung, Mecke Nagel, Ryan Fiddler, Stephen Cunningham</w:t>
      </w:r>
    </w:p>
    <w:p w14:paraId="09BC3486" w14:textId="77777777" w:rsidR="003B03C3" w:rsidRPr="00477286" w:rsidRDefault="003B03C3" w:rsidP="00AD335B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</w:p>
    <w:p w14:paraId="4FE689FB" w14:textId="73CCFC2F" w:rsidR="005A4372" w:rsidRPr="00C93DBA" w:rsidRDefault="00C20440" w:rsidP="003E4F83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 w:rsidRPr="00C93DBA">
        <w:rPr>
          <w:rFonts w:ascii="Calibri" w:hAnsi="Calibri" w:cs="Arial"/>
          <w:sz w:val="22"/>
          <w:szCs w:val="22"/>
          <w:u w:val="single"/>
        </w:rPr>
        <w:t xml:space="preserve">Members </w:t>
      </w:r>
      <w:proofErr w:type="gramStart"/>
      <w:r w:rsidRPr="00C93DBA">
        <w:rPr>
          <w:rFonts w:ascii="Calibri" w:hAnsi="Calibri" w:cs="Arial"/>
          <w:sz w:val="22"/>
          <w:szCs w:val="22"/>
          <w:u w:val="single"/>
        </w:rPr>
        <w:t>Absent</w:t>
      </w:r>
      <w:r w:rsidR="008B07E4" w:rsidRPr="00C93DBA">
        <w:rPr>
          <w:rFonts w:ascii="Calibri" w:hAnsi="Calibri" w:cs="Arial"/>
          <w:sz w:val="22"/>
          <w:szCs w:val="22"/>
          <w:u w:val="single"/>
        </w:rPr>
        <w:t xml:space="preserve"> :</w:t>
      </w:r>
      <w:proofErr w:type="gramEnd"/>
      <w:r w:rsidR="0091331A" w:rsidRPr="00C93DBA">
        <w:rPr>
          <w:rFonts w:ascii="Calibri" w:hAnsi="Calibri" w:cs="Arial"/>
          <w:sz w:val="22"/>
          <w:szCs w:val="22"/>
        </w:rPr>
        <w:t xml:space="preserve"> </w:t>
      </w:r>
      <w:r w:rsidR="00AC5C1A" w:rsidRPr="00C93DBA">
        <w:rPr>
          <w:rFonts w:ascii="Calibri" w:hAnsi="Calibri" w:cs="Arial"/>
          <w:sz w:val="22"/>
          <w:szCs w:val="22"/>
        </w:rPr>
        <w:t xml:space="preserve">Daniel </w:t>
      </w:r>
      <w:proofErr w:type="spellStart"/>
      <w:r w:rsidR="00AC5C1A" w:rsidRPr="00C93DBA">
        <w:rPr>
          <w:rFonts w:ascii="Calibri" w:hAnsi="Calibri" w:cs="Arial"/>
          <w:sz w:val="22"/>
          <w:szCs w:val="22"/>
        </w:rPr>
        <w:t>Reischer</w:t>
      </w:r>
      <w:proofErr w:type="spellEnd"/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369"/>
        <w:gridCol w:w="6968"/>
        <w:gridCol w:w="3727"/>
      </w:tblGrid>
      <w:tr w:rsidR="0073369C" w:rsidRPr="00783B86" w14:paraId="6BCCD2B3" w14:textId="77777777" w:rsidTr="001A1C7B">
        <w:trPr>
          <w:trHeight w:val="430"/>
        </w:trPr>
        <w:tc>
          <w:tcPr>
            <w:tcW w:w="33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3669F0FD" w14:textId="77777777"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9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194EF254" w14:textId="77777777"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</w:p>
        </w:tc>
        <w:tc>
          <w:tcPr>
            <w:tcW w:w="37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04B340E2" w14:textId="77777777"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3B03C3" w:rsidRPr="00506C33" w14:paraId="3910FCF4" w14:textId="77777777" w:rsidTr="001A1C7B">
        <w:trPr>
          <w:trHeight w:val="432"/>
        </w:trPr>
        <w:tc>
          <w:tcPr>
            <w:tcW w:w="3369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2BBC0A80" w14:textId="77777777" w:rsidR="003B03C3" w:rsidRPr="005A5FEF" w:rsidRDefault="00B5098A" w:rsidP="001D5BE2">
            <w:pPr>
              <w:tabs>
                <w:tab w:val="left" w:pos="360"/>
              </w:tabs>
              <w:ind w:left="360" w:hanging="360"/>
              <w:rPr>
                <w:rFonts w:asciiTheme="minorHAnsi" w:hAnsiTheme="minorHAnsi"/>
                <w:b/>
                <w:sz w:val="22"/>
                <w:szCs w:val="22"/>
              </w:rPr>
            </w:pPr>
            <w:r w:rsidRPr="005A5FEF">
              <w:rPr>
                <w:rFonts w:asciiTheme="minorHAnsi" w:hAnsiTheme="minorHAnsi"/>
                <w:b/>
                <w:sz w:val="22"/>
                <w:szCs w:val="22"/>
              </w:rPr>
              <w:t>Approval of Minutes</w:t>
            </w:r>
          </w:p>
        </w:tc>
        <w:tc>
          <w:tcPr>
            <w:tcW w:w="696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67EB9282" w14:textId="6CBAAA60" w:rsidR="003B03C3" w:rsidRPr="005A5FEF" w:rsidRDefault="003B03C3" w:rsidP="009B42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27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53608667" w14:textId="77777777" w:rsidR="003B03C3" w:rsidRPr="005A5FEF" w:rsidRDefault="00B5098A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5A5FEF">
              <w:rPr>
                <w:rFonts w:asciiTheme="minorHAnsi" w:hAnsiTheme="minorHAnsi"/>
                <w:b/>
                <w:sz w:val="22"/>
                <w:szCs w:val="22"/>
              </w:rPr>
              <w:t>Approved</w:t>
            </w:r>
          </w:p>
        </w:tc>
      </w:tr>
      <w:tr w:rsidR="009B42B0" w:rsidRPr="00506C33" w14:paraId="75135DEC" w14:textId="77777777" w:rsidTr="001A1C7B">
        <w:trPr>
          <w:trHeight w:val="378"/>
        </w:trPr>
        <w:tc>
          <w:tcPr>
            <w:tcW w:w="336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5BC4E6D1" w14:textId="6A81F92F" w:rsidR="00AD335B" w:rsidRPr="005A5FEF" w:rsidRDefault="00EE6F60" w:rsidP="00AD335B">
            <w:pPr>
              <w:tabs>
                <w:tab w:val="left" w:pos="360"/>
              </w:tabs>
              <w:ind w:left="360" w:hanging="360"/>
              <w:rPr>
                <w:rFonts w:asciiTheme="minorHAnsi" w:hAnsiTheme="minorHAnsi"/>
                <w:b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="Batang"/>
                <w:b/>
                <w:sz w:val="22"/>
                <w:szCs w:val="22"/>
                <w:lang w:eastAsia="ko-KR"/>
              </w:rPr>
              <w:t>Announcements</w:t>
            </w:r>
          </w:p>
        </w:tc>
        <w:tc>
          <w:tcPr>
            <w:tcW w:w="69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40492A0D" w14:textId="14D8097C" w:rsidR="00192D07" w:rsidRPr="003E4F83" w:rsidRDefault="00EE6F60" w:rsidP="00EE6F60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Letters, with forms, sent to faculty who have classes being assessed. Due back in late May.</w:t>
            </w:r>
          </w:p>
        </w:tc>
        <w:tc>
          <w:tcPr>
            <w:tcW w:w="372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05E97B3B" w14:textId="77777777" w:rsidR="00192D07" w:rsidRPr="005A5FEF" w:rsidRDefault="00192D07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1DF0D70" w14:textId="3CC953BD" w:rsidR="004B4D16" w:rsidRPr="005A5FEF" w:rsidRDefault="004B4D16" w:rsidP="00031D4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10B86" w:rsidRPr="00506C33" w14:paraId="2482588C" w14:textId="77777777" w:rsidTr="001A1C7B">
        <w:trPr>
          <w:trHeight w:val="390"/>
        </w:trPr>
        <w:tc>
          <w:tcPr>
            <w:tcW w:w="3369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03071795" w14:textId="16FDD4C3" w:rsidR="00210B86" w:rsidRPr="005A5FEF" w:rsidRDefault="00EE6F60" w:rsidP="00EE6F60">
            <w:pPr>
              <w:tabs>
                <w:tab w:val="left" w:pos="36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SUNY GEAC Draft </w:t>
            </w:r>
          </w:p>
        </w:tc>
        <w:tc>
          <w:tcPr>
            <w:tcW w:w="69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6A5C160A" w14:textId="52922533" w:rsidR="00960D3D" w:rsidRDefault="00EE6F60" w:rsidP="00EE6F60">
            <w:pPr>
              <w:pStyle w:val="ListParagraph"/>
              <w:numPr>
                <w:ilvl w:val="0"/>
                <w:numId w:val="23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EE6F60">
              <w:rPr>
                <w:rFonts w:asciiTheme="minorHAnsi" w:hAnsiTheme="minorHAnsi" w:cstheme="minorHAnsi"/>
                <w:sz w:val="22"/>
                <w:szCs w:val="22"/>
              </w:rPr>
              <w:t>Most categories look somewhat similar to existing GEs, but SLOs are quite different.</w:t>
            </w:r>
            <w:r w:rsidR="00960D3D" w:rsidRPr="00EE6F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E6F60">
              <w:rPr>
                <w:rFonts w:asciiTheme="minorHAnsi" w:hAnsiTheme="minorHAnsi" w:cstheme="minorHAnsi"/>
                <w:sz w:val="22"/>
                <w:szCs w:val="22"/>
              </w:rPr>
              <w:t>If accepted as is, might require rather substantive curricular changes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(especially if courses are not grandfathered into new GE categories). For example, GE 8: Arts restricts subject to “application,” potentially invalidating Art History as appropriate for GE 8.</w:t>
            </w:r>
          </w:p>
          <w:p w14:paraId="246C1F8B" w14:textId="77777777" w:rsidR="00EE6F60" w:rsidRDefault="00EE6F60" w:rsidP="00EE6F60">
            <w:pPr>
              <w:pStyle w:val="ListParagraph"/>
              <w:numPr>
                <w:ilvl w:val="0"/>
                <w:numId w:val="23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Discussion about language and pedagogical choices around ideas of “decolonizing” curriculum and “global learning” in the context of Western history.</w:t>
            </w:r>
          </w:p>
          <w:p w14:paraId="0D9C8E04" w14:textId="77777777" w:rsidR="00EE6F60" w:rsidRDefault="00EE6F60" w:rsidP="00EE6F60">
            <w:pPr>
              <w:pStyle w:val="ListParagraph"/>
              <w:numPr>
                <w:ilvl w:val="0"/>
                <w:numId w:val="23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Primary concerns:</w:t>
            </w:r>
          </w:p>
          <w:p w14:paraId="3CCC3A88" w14:textId="1E70FF58" w:rsidR="00EE6F60" w:rsidRDefault="00EE6F60" w:rsidP="00EE6F60">
            <w:pPr>
              <w:pStyle w:val="ListParagraph"/>
              <w:numPr>
                <w:ilvl w:val="1"/>
                <w:numId w:val="23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Clarifications needed, especially “crosswalk” between existing and proposed SLOs</w:t>
            </w:r>
          </w:p>
          <w:p w14:paraId="68E37FD3" w14:textId="447AEBE6" w:rsidR="00EE6F60" w:rsidRDefault="00EE6F60" w:rsidP="00EE6F60">
            <w:pPr>
              <w:pStyle w:val="ListParagraph"/>
              <w:numPr>
                <w:ilvl w:val="1"/>
                <w:numId w:val="23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Timing around proposed “sweeping changes”—things seem rushed, especially in the time of the pandemic</w:t>
            </w:r>
          </w:p>
          <w:p w14:paraId="2863CB71" w14:textId="55C226F4" w:rsidR="00EE6F60" w:rsidRDefault="00EE6F60" w:rsidP="00EE6F60">
            <w:pPr>
              <w:pStyle w:val="ListParagraph"/>
              <w:numPr>
                <w:ilvl w:val="1"/>
                <w:numId w:val="23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Barely moved through two assessment cycles in existing GE structure; haven’t closed the loop on existing assessment</w:t>
            </w:r>
          </w:p>
          <w:p w14:paraId="6A038544" w14:textId="3EF09B03" w:rsidR="00EE6F60" w:rsidRDefault="00EE6F60" w:rsidP="00EE6F60">
            <w:pPr>
              <w:pStyle w:val="ListParagraph"/>
              <w:numPr>
                <w:ilvl w:val="1"/>
                <w:numId w:val="23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Proposal overestimates the amount that can be done within 30-credit GE framework</w:t>
            </w:r>
          </w:p>
          <w:p w14:paraId="2F778813" w14:textId="7FCC5842" w:rsidR="00EE6F60" w:rsidRDefault="00EE6F60" w:rsidP="00EE6F60">
            <w:pPr>
              <w:pStyle w:val="ListParagraph"/>
              <w:numPr>
                <w:ilvl w:val="1"/>
                <w:numId w:val="23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clear distinction in document between “knowledge” and “competency”</w:t>
            </w:r>
          </w:p>
          <w:p w14:paraId="5D62CE8A" w14:textId="5780FD58" w:rsidR="00EE6F60" w:rsidRDefault="00EE6F60" w:rsidP="00EE6F60">
            <w:pPr>
              <w:pStyle w:val="ListParagraph"/>
              <w:numPr>
                <w:ilvl w:val="1"/>
                <w:numId w:val="23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Proposal has unstated and unconsidered implications for transfer students</w:t>
            </w:r>
            <w:r w:rsidR="007E0866">
              <w:rPr>
                <w:rFonts w:asciiTheme="minorHAnsi" w:hAnsiTheme="minorHAnsi" w:cstheme="minorHAnsi"/>
                <w:sz w:val="22"/>
                <w:szCs w:val="22"/>
              </w:rPr>
              <w:t xml:space="preserve"> and for education students</w:t>
            </w:r>
          </w:p>
          <w:p w14:paraId="6F4B4F84" w14:textId="145D4A17" w:rsidR="00EE6F60" w:rsidRDefault="00EE6F60" w:rsidP="00EE6F60">
            <w:pPr>
              <w:pStyle w:val="ListParagraph"/>
              <w:numPr>
                <w:ilvl w:val="0"/>
                <w:numId w:val="23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SUNY might consider instead setting goals and then having campuses devise learning outcomes from those goals that SUNY would then approve.</w:t>
            </w:r>
          </w:p>
          <w:p w14:paraId="59F019F6" w14:textId="3AD1BF7B" w:rsidR="00EE6F60" w:rsidRDefault="00EE6F60" w:rsidP="00EE6F60">
            <w:pPr>
              <w:pStyle w:val="ListParagraph"/>
              <w:numPr>
                <w:ilvl w:val="0"/>
                <w:numId w:val="23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Discussion about the impetus for change to GE categories at SUNY</w:t>
            </w:r>
          </w:p>
          <w:p w14:paraId="1BAB9A4B" w14:textId="3D76D44C" w:rsidR="00EE6F60" w:rsidRDefault="00EE6F60" w:rsidP="00EE6F60">
            <w:pPr>
              <w:pStyle w:val="ListParagraph"/>
              <w:numPr>
                <w:ilvl w:val="1"/>
                <w:numId w:val="23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Mismatch between Middle States and SUNY G</w:t>
            </w:r>
            <w:r w:rsidR="007E0866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  <w:p w14:paraId="3E534E66" w14:textId="12BB3EAE" w:rsidR="00EE6F60" w:rsidRDefault="00EE6F60" w:rsidP="00EE6F60">
            <w:pPr>
              <w:pStyle w:val="ListParagraph"/>
              <w:numPr>
                <w:ilvl w:val="1"/>
                <w:numId w:val="23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Issues with community colleges</w:t>
            </w:r>
          </w:p>
          <w:p w14:paraId="34604F3C" w14:textId="10603D2B" w:rsidR="007E0866" w:rsidRDefault="007E0866" w:rsidP="00EE6F60">
            <w:pPr>
              <w:pStyle w:val="ListParagraph"/>
              <w:numPr>
                <w:ilvl w:val="1"/>
                <w:numId w:val="23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These two issues brought the subject to the table, but has “snowballed” from there</w:t>
            </w:r>
          </w:p>
          <w:p w14:paraId="0BFD2F82" w14:textId="5B1DFC45" w:rsidR="00EE6F60" w:rsidRPr="00EE6F60" w:rsidRDefault="00EE6F60" w:rsidP="00EE6F60">
            <w:pPr>
              <w:spacing w:after="160"/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33139148" w14:textId="77777777" w:rsidR="00192D07" w:rsidRDefault="00FE3493" w:rsidP="004B4D1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Send further comments to Lauren by end of day 9 Apr 2021</w:t>
            </w:r>
          </w:p>
          <w:p w14:paraId="310EB0AE" w14:textId="77777777" w:rsidR="00FE3493" w:rsidRDefault="00FE3493" w:rsidP="004B4D1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B144AB2" w14:textId="70A2DB4F" w:rsidR="00FE3493" w:rsidRPr="005A5FEF" w:rsidRDefault="00FE3493" w:rsidP="004B4D16">
            <w:pPr>
              <w:pStyle w:val="ListParagraph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Consider sending document when finalized to Faculty Senate and to other campuses (in addition to normal channels)</w:t>
            </w:r>
          </w:p>
        </w:tc>
      </w:tr>
    </w:tbl>
    <w:p w14:paraId="7A6DC55B" w14:textId="77777777" w:rsidR="00F74A0A" w:rsidRDefault="00F74A0A" w:rsidP="00FE3493">
      <w:pPr>
        <w:ind w:right="-450"/>
        <w:rPr>
          <w:rFonts w:ascii="Calibri" w:hAnsi="Calibri" w:cs="Arial"/>
          <w:sz w:val="22"/>
          <w:szCs w:val="22"/>
        </w:rPr>
      </w:pPr>
    </w:p>
    <w:p w14:paraId="0C57AE5F" w14:textId="77777777" w:rsidR="00820C48" w:rsidRDefault="00F74A0A" w:rsidP="00FE3493">
      <w:pPr>
        <w:ind w:right="-450"/>
        <w:jc w:val="right"/>
        <w:rPr>
          <w:rFonts w:ascii="Calibri" w:hAnsi="Calibri" w:cs="Arial"/>
          <w:sz w:val="18"/>
          <w:szCs w:val="18"/>
        </w:rPr>
      </w:pPr>
      <w:r w:rsidRPr="00F74A0A">
        <w:rPr>
          <w:rFonts w:ascii="Calibri" w:hAnsi="Calibri" w:cs="Arial"/>
          <w:sz w:val="18"/>
          <w:szCs w:val="18"/>
        </w:rPr>
        <w:t>Submitted by</w:t>
      </w:r>
      <w:r w:rsidR="00AD335B">
        <w:rPr>
          <w:rFonts w:ascii="Calibri" w:hAnsi="Calibri" w:cs="Arial"/>
          <w:sz w:val="18"/>
          <w:szCs w:val="18"/>
        </w:rPr>
        <w:t xml:space="preserve"> </w:t>
      </w:r>
    </w:p>
    <w:p w14:paraId="3141D267" w14:textId="67A2E0E6" w:rsidR="007C653D" w:rsidRPr="00F74A0A" w:rsidRDefault="00EE6F60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Daniel Radus</w:t>
      </w:r>
    </w:p>
    <w:sectPr w:rsidR="007C653D" w:rsidRPr="00F74A0A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4829A" w14:textId="77777777" w:rsidR="000C2EF7" w:rsidRDefault="000C2EF7" w:rsidP="00097DBB">
      <w:r>
        <w:separator/>
      </w:r>
    </w:p>
  </w:endnote>
  <w:endnote w:type="continuationSeparator" w:id="0">
    <w:p w14:paraId="53855F1C" w14:textId="77777777" w:rsidR="000C2EF7" w:rsidRDefault="000C2EF7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DAB17" w14:textId="77777777" w:rsidR="00E64199" w:rsidRPr="00E57F3A" w:rsidRDefault="00E64199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4C5BA" w14:textId="77777777" w:rsidR="000C2EF7" w:rsidRDefault="000C2EF7" w:rsidP="00097DBB">
      <w:r>
        <w:separator/>
      </w:r>
    </w:p>
  </w:footnote>
  <w:footnote w:type="continuationSeparator" w:id="0">
    <w:p w14:paraId="296E6293" w14:textId="77777777" w:rsidR="000C2EF7" w:rsidRDefault="000C2EF7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1524"/>
    <w:multiLevelType w:val="hybridMultilevel"/>
    <w:tmpl w:val="551A49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542FF26">
      <w:numFmt w:val="bullet"/>
      <w:lvlText w:val="-"/>
      <w:lvlJc w:val="left"/>
      <w:pPr>
        <w:ind w:left="1080" w:hanging="360"/>
      </w:pPr>
      <w:rPr>
        <w:rFonts w:ascii="Cambria" w:eastAsia="Cambria" w:hAnsi="Cambria"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9410F"/>
    <w:multiLevelType w:val="hybridMultilevel"/>
    <w:tmpl w:val="1C60F6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4F716F"/>
    <w:multiLevelType w:val="hybridMultilevel"/>
    <w:tmpl w:val="EC24DA2A"/>
    <w:lvl w:ilvl="0" w:tplc="1542FF26">
      <w:numFmt w:val="bullet"/>
      <w:lvlText w:val="-"/>
      <w:lvlJc w:val="left"/>
      <w:pPr>
        <w:ind w:left="144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C4754D"/>
    <w:multiLevelType w:val="hybridMultilevel"/>
    <w:tmpl w:val="D2EC39C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6" w15:restartNumberingAfterBreak="0">
    <w:nsid w:val="435B359C"/>
    <w:multiLevelType w:val="hybridMultilevel"/>
    <w:tmpl w:val="CC2AE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E6867"/>
    <w:multiLevelType w:val="multilevel"/>
    <w:tmpl w:val="0CD0F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47199A"/>
    <w:multiLevelType w:val="hybridMultilevel"/>
    <w:tmpl w:val="E9D8A952"/>
    <w:lvl w:ilvl="0" w:tplc="FE743866">
      <w:start w:val="10"/>
      <w:numFmt w:val="bullet"/>
      <w:lvlText w:val="-"/>
      <w:lvlJc w:val="left"/>
      <w:pPr>
        <w:ind w:left="1080" w:hanging="360"/>
      </w:pPr>
      <w:rPr>
        <w:rFonts w:ascii="Calibri" w:eastAsia="Batang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B3A99"/>
    <w:multiLevelType w:val="hybridMultilevel"/>
    <w:tmpl w:val="7E6EBE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347E9"/>
    <w:multiLevelType w:val="hybridMultilevel"/>
    <w:tmpl w:val="D9845D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9F2F23"/>
    <w:multiLevelType w:val="hybridMultilevel"/>
    <w:tmpl w:val="4DE229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542FF26">
      <w:numFmt w:val="bullet"/>
      <w:lvlText w:val="-"/>
      <w:lvlJc w:val="left"/>
      <w:pPr>
        <w:ind w:left="1080" w:hanging="360"/>
      </w:pPr>
      <w:rPr>
        <w:rFonts w:ascii="Cambria" w:eastAsia="Cambria" w:hAnsi="Cambria"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650F9"/>
    <w:multiLevelType w:val="hybridMultilevel"/>
    <w:tmpl w:val="3BD829C6"/>
    <w:lvl w:ilvl="0" w:tplc="79CE5C88">
      <w:start w:val="10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A14342"/>
    <w:multiLevelType w:val="hybridMultilevel"/>
    <w:tmpl w:val="D1E609FE"/>
    <w:lvl w:ilvl="0" w:tplc="611CF62E">
      <w:start w:val="10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56EB4"/>
    <w:multiLevelType w:val="hybridMultilevel"/>
    <w:tmpl w:val="D8F4C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542FF26">
      <w:numFmt w:val="bullet"/>
      <w:lvlText w:val="-"/>
      <w:lvlJc w:val="left"/>
      <w:pPr>
        <w:ind w:left="1080" w:hanging="360"/>
      </w:pPr>
      <w:rPr>
        <w:rFonts w:ascii="Cambria" w:eastAsia="Cambria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0"/>
  </w:num>
  <w:num w:numId="4">
    <w:abstractNumId w:val="23"/>
  </w:num>
  <w:num w:numId="5">
    <w:abstractNumId w:val="19"/>
  </w:num>
  <w:num w:numId="6">
    <w:abstractNumId w:val="9"/>
  </w:num>
  <w:num w:numId="7">
    <w:abstractNumId w:val="11"/>
  </w:num>
  <w:num w:numId="8">
    <w:abstractNumId w:val="15"/>
  </w:num>
  <w:num w:numId="9">
    <w:abstractNumId w:val="18"/>
  </w:num>
  <w:num w:numId="10">
    <w:abstractNumId w:val="2"/>
  </w:num>
  <w:num w:numId="11">
    <w:abstractNumId w:val="21"/>
  </w:num>
  <w:num w:numId="12">
    <w:abstractNumId w:val="3"/>
  </w:num>
  <w:num w:numId="13">
    <w:abstractNumId w:val="5"/>
  </w:num>
  <w:num w:numId="14">
    <w:abstractNumId w:val="0"/>
  </w:num>
  <w:num w:numId="15">
    <w:abstractNumId w:val="14"/>
  </w:num>
  <w:num w:numId="16">
    <w:abstractNumId w:val="6"/>
  </w:num>
  <w:num w:numId="17">
    <w:abstractNumId w:val="7"/>
  </w:num>
  <w:num w:numId="18">
    <w:abstractNumId w:val="16"/>
  </w:num>
  <w:num w:numId="19">
    <w:abstractNumId w:val="17"/>
  </w:num>
  <w:num w:numId="20">
    <w:abstractNumId w:val="8"/>
  </w:num>
  <w:num w:numId="21">
    <w:abstractNumId w:val="4"/>
  </w:num>
  <w:num w:numId="22">
    <w:abstractNumId w:val="22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5BB"/>
    <w:rsid w:val="000034DD"/>
    <w:rsid w:val="00011527"/>
    <w:rsid w:val="00011942"/>
    <w:rsid w:val="00012B29"/>
    <w:rsid w:val="000202A2"/>
    <w:rsid w:val="00031D46"/>
    <w:rsid w:val="0003215E"/>
    <w:rsid w:val="00033FA8"/>
    <w:rsid w:val="000345FC"/>
    <w:rsid w:val="00036F31"/>
    <w:rsid w:val="000376F2"/>
    <w:rsid w:val="00044C8A"/>
    <w:rsid w:val="0005569C"/>
    <w:rsid w:val="00056391"/>
    <w:rsid w:val="0006106B"/>
    <w:rsid w:val="00076C92"/>
    <w:rsid w:val="000775DA"/>
    <w:rsid w:val="00093332"/>
    <w:rsid w:val="00096F72"/>
    <w:rsid w:val="00097DBB"/>
    <w:rsid w:val="000A660F"/>
    <w:rsid w:val="000B4F87"/>
    <w:rsid w:val="000B726A"/>
    <w:rsid w:val="000C2EF7"/>
    <w:rsid w:val="000C662C"/>
    <w:rsid w:val="000D61B7"/>
    <w:rsid w:val="000D6D16"/>
    <w:rsid w:val="000D6E75"/>
    <w:rsid w:val="000E076E"/>
    <w:rsid w:val="000E5D05"/>
    <w:rsid w:val="000E62A3"/>
    <w:rsid w:val="00100921"/>
    <w:rsid w:val="001100A4"/>
    <w:rsid w:val="001115BD"/>
    <w:rsid w:val="001176D4"/>
    <w:rsid w:val="00126A5F"/>
    <w:rsid w:val="001306FE"/>
    <w:rsid w:val="00134932"/>
    <w:rsid w:val="0013531A"/>
    <w:rsid w:val="0013580B"/>
    <w:rsid w:val="001374F6"/>
    <w:rsid w:val="00151271"/>
    <w:rsid w:val="001535BB"/>
    <w:rsid w:val="00155FD9"/>
    <w:rsid w:val="00160A2C"/>
    <w:rsid w:val="00160E0D"/>
    <w:rsid w:val="001657AF"/>
    <w:rsid w:val="00180148"/>
    <w:rsid w:val="00192D07"/>
    <w:rsid w:val="001970F8"/>
    <w:rsid w:val="001A1C7B"/>
    <w:rsid w:val="001A5FF4"/>
    <w:rsid w:val="001A7CB0"/>
    <w:rsid w:val="001B3599"/>
    <w:rsid w:val="001B6317"/>
    <w:rsid w:val="001D0836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232F9"/>
    <w:rsid w:val="00223E17"/>
    <w:rsid w:val="00227EE1"/>
    <w:rsid w:val="002302FD"/>
    <w:rsid w:val="0023474E"/>
    <w:rsid w:val="002419CB"/>
    <w:rsid w:val="00250838"/>
    <w:rsid w:val="00250CFE"/>
    <w:rsid w:val="00251ACE"/>
    <w:rsid w:val="002633F0"/>
    <w:rsid w:val="00265E93"/>
    <w:rsid w:val="0028210B"/>
    <w:rsid w:val="00286CE4"/>
    <w:rsid w:val="00286DE5"/>
    <w:rsid w:val="002917D0"/>
    <w:rsid w:val="00292BB9"/>
    <w:rsid w:val="00295542"/>
    <w:rsid w:val="002A1AEE"/>
    <w:rsid w:val="002A7027"/>
    <w:rsid w:val="002B3E17"/>
    <w:rsid w:val="002C3F1F"/>
    <w:rsid w:val="002D28D7"/>
    <w:rsid w:val="002E0CB3"/>
    <w:rsid w:val="002E546B"/>
    <w:rsid w:val="002F16D0"/>
    <w:rsid w:val="002F4C65"/>
    <w:rsid w:val="00303B21"/>
    <w:rsid w:val="00311BA6"/>
    <w:rsid w:val="00315FC1"/>
    <w:rsid w:val="00317230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82A71"/>
    <w:rsid w:val="003A03EA"/>
    <w:rsid w:val="003B03C3"/>
    <w:rsid w:val="003B0E0C"/>
    <w:rsid w:val="003B56C6"/>
    <w:rsid w:val="003C25EE"/>
    <w:rsid w:val="003C35EE"/>
    <w:rsid w:val="003D09A9"/>
    <w:rsid w:val="003D3BB6"/>
    <w:rsid w:val="003D462B"/>
    <w:rsid w:val="003E4F83"/>
    <w:rsid w:val="003E7084"/>
    <w:rsid w:val="003F3B99"/>
    <w:rsid w:val="003F4B7D"/>
    <w:rsid w:val="003F77E7"/>
    <w:rsid w:val="004115BC"/>
    <w:rsid w:val="00421F52"/>
    <w:rsid w:val="00424436"/>
    <w:rsid w:val="004255D3"/>
    <w:rsid w:val="00425616"/>
    <w:rsid w:val="00430C42"/>
    <w:rsid w:val="00433730"/>
    <w:rsid w:val="004376DF"/>
    <w:rsid w:val="0044146D"/>
    <w:rsid w:val="004514C6"/>
    <w:rsid w:val="00452CF9"/>
    <w:rsid w:val="00461DCA"/>
    <w:rsid w:val="004631AE"/>
    <w:rsid w:val="004678D2"/>
    <w:rsid w:val="0047030F"/>
    <w:rsid w:val="00472F4C"/>
    <w:rsid w:val="00477286"/>
    <w:rsid w:val="004859F9"/>
    <w:rsid w:val="00485B9D"/>
    <w:rsid w:val="00490E04"/>
    <w:rsid w:val="004947E1"/>
    <w:rsid w:val="004A6E91"/>
    <w:rsid w:val="004A6FC1"/>
    <w:rsid w:val="004B300F"/>
    <w:rsid w:val="004B4D16"/>
    <w:rsid w:val="004C3AD1"/>
    <w:rsid w:val="004C409C"/>
    <w:rsid w:val="004C4FF6"/>
    <w:rsid w:val="004C6846"/>
    <w:rsid w:val="004C740F"/>
    <w:rsid w:val="004E136F"/>
    <w:rsid w:val="004F5234"/>
    <w:rsid w:val="004F6C8D"/>
    <w:rsid w:val="0050076F"/>
    <w:rsid w:val="005064C3"/>
    <w:rsid w:val="00506C33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49CB"/>
    <w:rsid w:val="00597094"/>
    <w:rsid w:val="005A4372"/>
    <w:rsid w:val="005A5FEF"/>
    <w:rsid w:val="005A6BD2"/>
    <w:rsid w:val="005A7E33"/>
    <w:rsid w:val="005C0ABA"/>
    <w:rsid w:val="005C2E04"/>
    <w:rsid w:val="005D1FF6"/>
    <w:rsid w:val="005E22B4"/>
    <w:rsid w:val="005E24F3"/>
    <w:rsid w:val="00606567"/>
    <w:rsid w:val="00610904"/>
    <w:rsid w:val="00611F5E"/>
    <w:rsid w:val="006144D7"/>
    <w:rsid w:val="00615E2E"/>
    <w:rsid w:val="00617BEF"/>
    <w:rsid w:val="00624FF8"/>
    <w:rsid w:val="006317B4"/>
    <w:rsid w:val="0063581B"/>
    <w:rsid w:val="00635B6E"/>
    <w:rsid w:val="00641CEA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483B"/>
    <w:rsid w:val="006A5574"/>
    <w:rsid w:val="006B3099"/>
    <w:rsid w:val="006B4CC3"/>
    <w:rsid w:val="006C6144"/>
    <w:rsid w:val="006D53C9"/>
    <w:rsid w:val="006E2CBF"/>
    <w:rsid w:val="006E55F2"/>
    <w:rsid w:val="006F4531"/>
    <w:rsid w:val="006F710A"/>
    <w:rsid w:val="006F7EC7"/>
    <w:rsid w:val="00703457"/>
    <w:rsid w:val="00705F3C"/>
    <w:rsid w:val="00711B60"/>
    <w:rsid w:val="00713C19"/>
    <w:rsid w:val="00716376"/>
    <w:rsid w:val="00716D47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B294D"/>
    <w:rsid w:val="007B70E2"/>
    <w:rsid w:val="007C2F3D"/>
    <w:rsid w:val="007C653D"/>
    <w:rsid w:val="007D4085"/>
    <w:rsid w:val="007D4579"/>
    <w:rsid w:val="007E0866"/>
    <w:rsid w:val="007F4F03"/>
    <w:rsid w:val="007F5E2A"/>
    <w:rsid w:val="00805846"/>
    <w:rsid w:val="00813742"/>
    <w:rsid w:val="00813C2B"/>
    <w:rsid w:val="00820C48"/>
    <w:rsid w:val="008269AB"/>
    <w:rsid w:val="008278C0"/>
    <w:rsid w:val="008413B6"/>
    <w:rsid w:val="008453BE"/>
    <w:rsid w:val="00851DF3"/>
    <w:rsid w:val="00854474"/>
    <w:rsid w:val="008568C1"/>
    <w:rsid w:val="00857F30"/>
    <w:rsid w:val="0086106F"/>
    <w:rsid w:val="00864193"/>
    <w:rsid w:val="0086428E"/>
    <w:rsid w:val="0086740F"/>
    <w:rsid w:val="0086765F"/>
    <w:rsid w:val="008700CB"/>
    <w:rsid w:val="00880769"/>
    <w:rsid w:val="0089240B"/>
    <w:rsid w:val="008A0DD2"/>
    <w:rsid w:val="008A5B6D"/>
    <w:rsid w:val="008B07E4"/>
    <w:rsid w:val="008B12C8"/>
    <w:rsid w:val="008B4774"/>
    <w:rsid w:val="008C216A"/>
    <w:rsid w:val="008D30E3"/>
    <w:rsid w:val="008D7724"/>
    <w:rsid w:val="008E07B0"/>
    <w:rsid w:val="008E0F12"/>
    <w:rsid w:val="008F1EC5"/>
    <w:rsid w:val="008F2CF2"/>
    <w:rsid w:val="008F38AC"/>
    <w:rsid w:val="008F4E33"/>
    <w:rsid w:val="008F52E8"/>
    <w:rsid w:val="00901653"/>
    <w:rsid w:val="00901FCA"/>
    <w:rsid w:val="0091331A"/>
    <w:rsid w:val="00914B58"/>
    <w:rsid w:val="00935DBB"/>
    <w:rsid w:val="00947A20"/>
    <w:rsid w:val="00953B0A"/>
    <w:rsid w:val="009541A6"/>
    <w:rsid w:val="00954D7C"/>
    <w:rsid w:val="00955B71"/>
    <w:rsid w:val="00960D3D"/>
    <w:rsid w:val="00961DE2"/>
    <w:rsid w:val="009653A6"/>
    <w:rsid w:val="00966DA3"/>
    <w:rsid w:val="00967F39"/>
    <w:rsid w:val="00990376"/>
    <w:rsid w:val="00993A42"/>
    <w:rsid w:val="00995AD4"/>
    <w:rsid w:val="009A1274"/>
    <w:rsid w:val="009B42B0"/>
    <w:rsid w:val="009B67F6"/>
    <w:rsid w:val="009D0B8D"/>
    <w:rsid w:val="009D379F"/>
    <w:rsid w:val="009D7266"/>
    <w:rsid w:val="009F3CA7"/>
    <w:rsid w:val="00A01B44"/>
    <w:rsid w:val="00A0203B"/>
    <w:rsid w:val="00A071FA"/>
    <w:rsid w:val="00A12616"/>
    <w:rsid w:val="00A1497E"/>
    <w:rsid w:val="00A17373"/>
    <w:rsid w:val="00A24505"/>
    <w:rsid w:val="00A2528D"/>
    <w:rsid w:val="00A26157"/>
    <w:rsid w:val="00A315C0"/>
    <w:rsid w:val="00A35D87"/>
    <w:rsid w:val="00A505B3"/>
    <w:rsid w:val="00A513EE"/>
    <w:rsid w:val="00A54486"/>
    <w:rsid w:val="00A55A78"/>
    <w:rsid w:val="00A573C7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C5C1A"/>
    <w:rsid w:val="00AD335B"/>
    <w:rsid w:val="00AD4A4B"/>
    <w:rsid w:val="00AD67BD"/>
    <w:rsid w:val="00AE0C10"/>
    <w:rsid w:val="00AE3114"/>
    <w:rsid w:val="00AE4450"/>
    <w:rsid w:val="00AE4E47"/>
    <w:rsid w:val="00AF4509"/>
    <w:rsid w:val="00B01D98"/>
    <w:rsid w:val="00B12053"/>
    <w:rsid w:val="00B16238"/>
    <w:rsid w:val="00B16E03"/>
    <w:rsid w:val="00B21957"/>
    <w:rsid w:val="00B2424D"/>
    <w:rsid w:val="00B336FF"/>
    <w:rsid w:val="00B352FE"/>
    <w:rsid w:val="00B37B37"/>
    <w:rsid w:val="00B45B47"/>
    <w:rsid w:val="00B505CE"/>
    <w:rsid w:val="00B5098A"/>
    <w:rsid w:val="00B62571"/>
    <w:rsid w:val="00B74988"/>
    <w:rsid w:val="00B909CC"/>
    <w:rsid w:val="00B91202"/>
    <w:rsid w:val="00BA1951"/>
    <w:rsid w:val="00BB2F5F"/>
    <w:rsid w:val="00BB3F78"/>
    <w:rsid w:val="00BB5162"/>
    <w:rsid w:val="00BB6661"/>
    <w:rsid w:val="00BC1457"/>
    <w:rsid w:val="00BC3A16"/>
    <w:rsid w:val="00BD341F"/>
    <w:rsid w:val="00BD6DE4"/>
    <w:rsid w:val="00BD7E67"/>
    <w:rsid w:val="00BE30CD"/>
    <w:rsid w:val="00BF1990"/>
    <w:rsid w:val="00BF4099"/>
    <w:rsid w:val="00BF7D49"/>
    <w:rsid w:val="00C007B0"/>
    <w:rsid w:val="00C03865"/>
    <w:rsid w:val="00C124F8"/>
    <w:rsid w:val="00C15529"/>
    <w:rsid w:val="00C20440"/>
    <w:rsid w:val="00C24CA2"/>
    <w:rsid w:val="00C2626A"/>
    <w:rsid w:val="00C27980"/>
    <w:rsid w:val="00C37260"/>
    <w:rsid w:val="00C441FF"/>
    <w:rsid w:val="00C44392"/>
    <w:rsid w:val="00C5277A"/>
    <w:rsid w:val="00C645F1"/>
    <w:rsid w:val="00C74920"/>
    <w:rsid w:val="00C87AA6"/>
    <w:rsid w:val="00C918B9"/>
    <w:rsid w:val="00C93DBA"/>
    <w:rsid w:val="00CA020D"/>
    <w:rsid w:val="00CA375D"/>
    <w:rsid w:val="00CA7074"/>
    <w:rsid w:val="00CB3EBE"/>
    <w:rsid w:val="00CC0853"/>
    <w:rsid w:val="00CC0D4E"/>
    <w:rsid w:val="00CC5178"/>
    <w:rsid w:val="00CD35AD"/>
    <w:rsid w:val="00CD5547"/>
    <w:rsid w:val="00CE04AC"/>
    <w:rsid w:val="00CE1519"/>
    <w:rsid w:val="00CE6764"/>
    <w:rsid w:val="00D07165"/>
    <w:rsid w:val="00D11A4D"/>
    <w:rsid w:val="00D21AD8"/>
    <w:rsid w:val="00D21BA8"/>
    <w:rsid w:val="00D26878"/>
    <w:rsid w:val="00D2744F"/>
    <w:rsid w:val="00D27686"/>
    <w:rsid w:val="00D3073F"/>
    <w:rsid w:val="00D34CDB"/>
    <w:rsid w:val="00D403CA"/>
    <w:rsid w:val="00D44E9E"/>
    <w:rsid w:val="00D4568C"/>
    <w:rsid w:val="00D46112"/>
    <w:rsid w:val="00D50970"/>
    <w:rsid w:val="00D53525"/>
    <w:rsid w:val="00D61B92"/>
    <w:rsid w:val="00D6596C"/>
    <w:rsid w:val="00D7246C"/>
    <w:rsid w:val="00D72CC5"/>
    <w:rsid w:val="00D7458C"/>
    <w:rsid w:val="00D80CC2"/>
    <w:rsid w:val="00D84291"/>
    <w:rsid w:val="00D9694D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2692D"/>
    <w:rsid w:val="00E30046"/>
    <w:rsid w:val="00E3633A"/>
    <w:rsid w:val="00E57F3A"/>
    <w:rsid w:val="00E60E28"/>
    <w:rsid w:val="00E64199"/>
    <w:rsid w:val="00E66892"/>
    <w:rsid w:val="00E701BC"/>
    <w:rsid w:val="00E75B63"/>
    <w:rsid w:val="00E83EFF"/>
    <w:rsid w:val="00E863D1"/>
    <w:rsid w:val="00E87D8E"/>
    <w:rsid w:val="00E90177"/>
    <w:rsid w:val="00EA100B"/>
    <w:rsid w:val="00EA15CC"/>
    <w:rsid w:val="00EA225B"/>
    <w:rsid w:val="00EA37C3"/>
    <w:rsid w:val="00EA55E8"/>
    <w:rsid w:val="00EA5A91"/>
    <w:rsid w:val="00EC39AD"/>
    <w:rsid w:val="00EC4119"/>
    <w:rsid w:val="00EC6335"/>
    <w:rsid w:val="00ED3359"/>
    <w:rsid w:val="00ED6B18"/>
    <w:rsid w:val="00EE219F"/>
    <w:rsid w:val="00EE6C40"/>
    <w:rsid w:val="00EE6F60"/>
    <w:rsid w:val="00EF125D"/>
    <w:rsid w:val="00EF3ED0"/>
    <w:rsid w:val="00F264BD"/>
    <w:rsid w:val="00F3041B"/>
    <w:rsid w:val="00F4027F"/>
    <w:rsid w:val="00F419A0"/>
    <w:rsid w:val="00F42CE4"/>
    <w:rsid w:val="00F440EE"/>
    <w:rsid w:val="00F51094"/>
    <w:rsid w:val="00F563FC"/>
    <w:rsid w:val="00F63F3D"/>
    <w:rsid w:val="00F708C3"/>
    <w:rsid w:val="00F71FE6"/>
    <w:rsid w:val="00F74A0A"/>
    <w:rsid w:val="00F76A65"/>
    <w:rsid w:val="00F77396"/>
    <w:rsid w:val="00F779A3"/>
    <w:rsid w:val="00F8229E"/>
    <w:rsid w:val="00F854BD"/>
    <w:rsid w:val="00F875C6"/>
    <w:rsid w:val="00F908E8"/>
    <w:rsid w:val="00F95D8A"/>
    <w:rsid w:val="00F96EE0"/>
    <w:rsid w:val="00FA4BD6"/>
    <w:rsid w:val="00FD0315"/>
    <w:rsid w:val="00FD1761"/>
    <w:rsid w:val="00FE17D4"/>
    <w:rsid w:val="00FE3493"/>
    <w:rsid w:val="00FE6DD3"/>
    <w:rsid w:val="00FF042E"/>
    <w:rsid w:val="00FF293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B9A2CE"/>
  <w15:docId w15:val="{E11E87CB-95D5-6847-A4FE-880EB052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Batang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46112"/>
    <w:pPr>
      <w:spacing w:before="100" w:beforeAutospacing="1" w:after="100" w:afterAutospacing="1"/>
    </w:pPr>
    <w:rPr>
      <w:rFonts w:ascii="Times New Roman" w:eastAsia="Times New Roman" w:hAnsi="Times New Roman"/>
      <w:lang w:eastAsia="ko-KR"/>
    </w:rPr>
  </w:style>
  <w:style w:type="character" w:styleId="Strong">
    <w:name w:val="Strong"/>
    <w:basedOn w:val="DefaultParagraphFont"/>
    <w:uiPriority w:val="22"/>
    <w:qFormat/>
    <w:rsid w:val="00BF40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Microsoft Office User</dc:creator>
  <cp:lastModifiedBy>Lauren deLaubell</cp:lastModifiedBy>
  <cp:revision>2</cp:revision>
  <cp:lastPrinted>2012-02-03T14:02:00Z</cp:lastPrinted>
  <dcterms:created xsi:type="dcterms:W3CDTF">2021-04-08T13:33:00Z</dcterms:created>
  <dcterms:modified xsi:type="dcterms:W3CDTF">2021-04-08T13:33:00Z</dcterms:modified>
</cp:coreProperties>
</file>